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114BB" w14:textId="5712A93E" w:rsidR="004A7884" w:rsidRPr="00991174" w:rsidRDefault="00375567" w:rsidP="00015AB8">
      <w:pPr>
        <w:pBdr>
          <w:bottom w:val="single" w:sz="4" w:space="1" w:color="auto"/>
        </w:pBdr>
        <w:spacing w:after="120" w:line="320" w:lineRule="atLeast"/>
        <w:ind w:left="-142"/>
        <w:jc w:val="center"/>
        <w:rPr>
          <w:b/>
          <w:bCs/>
          <w:sz w:val="28"/>
          <w:szCs w:val="28"/>
        </w:rPr>
      </w:pPr>
      <w:r w:rsidRPr="00991174">
        <w:rPr>
          <w:b/>
          <w:bCs/>
          <w:sz w:val="28"/>
          <w:szCs w:val="28"/>
        </w:rPr>
        <w:t>SPRÁVNÉ SKLÁDÁNÍ KÚR</w:t>
      </w:r>
      <w:r w:rsidR="00171B29">
        <w:rPr>
          <w:b/>
          <w:bCs/>
          <w:sz w:val="28"/>
          <w:szCs w:val="28"/>
        </w:rPr>
        <w:t xml:space="preserve"> Z INFORMAČNÍCH PŘÍPRAVKŮ JOALIS</w:t>
      </w:r>
    </w:p>
    <w:p w14:paraId="7D39538D" w14:textId="77777777" w:rsidR="00375567" w:rsidRPr="00720957" w:rsidRDefault="00375567" w:rsidP="00991174">
      <w:pPr>
        <w:spacing w:after="120" w:line="320" w:lineRule="atLeast"/>
        <w:rPr>
          <w:color w:val="00CC66"/>
          <w:sz w:val="24"/>
          <w:szCs w:val="24"/>
        </w:rPr>
      </w:pPr>
      <w:r w:rsidRPr="00720957">
        <w:rPr>
          <w:b/>
          <w:bCs/>
          <w:color w:val="00CC66"/>
          <w:sz w:val="24"/>
          <w:szCs w:val="24"/>
        </w:rPr>
        <w:t>Neexistuje žádný univerzální postup!</w:t>
      </w:r>
    </w:p>
    <w:p w14:paraId="1B4732D9" w14:textId="0365FF2F" w:rsidR="00375567" w:rsidRPr="00375567" w:rsidRDefault="00991174" w:rsidP="00991174">
      <w:pPr>
        <w:spacing w:after="120" w:line="320" w:lineRule="atLeast"/>
      </w:pPr>
      <w:r>
        <w:rPr>
          <w:b/>
          <w:bCs/>
        </w:rPr>
        <w:t>Problémy</w:t>
      </w:r>
      <w:r w:rsidR="00375567" w:rsidRPr="00375567">
        <w:rPr>
          <w:b/>
          <w:bCs/>
        </w:rPr>
        <w:t>, které se projevují podobně,</w:t>
      </w:r>
      <w:r w:rsidR="00375567">
        <w:rPr>
          <w:b/>
          <w:bCs/>
        </w:rPr>
        <w:t xml:space="preserve"> </w:t>
      </w:r>
      <w:r w:rsidR="00375567" w:rsidRPr="00375567">
        <w:rPr>
          <w:b/>
          <w:bCs/>
        </w:rPr>
        <w:t xml:space="preserve">mohou mít různé příčiny </w:t>
      </w:r>
      <w:r w:rsidR="00375567" w:rsidRPr="00375567">
        <w:t>– např. ekzém je chronický zánět kůže,</w:t>
      </w:r>
      <w:r w:rsidR="00375567">
        <w:t xml:space="preserve"> </w:t>
      </w:r>
      <w:r w:rsidR="00375567" w:rsidRPr="00375567">
        <w:t>jeho příčinou může být intolerance potravin, alergie, chronická</w:t>
      </w:r>
      <w:r>
        <w:t xml:space="preserve"> </w:t>
      </w:r>
      <w:r w:rsidR="00375567" w:rsidRPr="00375567">
        <w:t>borelie, toxiny v lymfatickém systému…</w:t>
      </w:r>
    </w:p>
    <w:p w14:paraId="15767498" w14:textId="0E388A82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U jednotlivých problémů jsou ale některé toxiny a zatížené tkáně typické</w:t>
      </w:r>
      <w:r w:rsidR="00015AB8">
        <w:rPr>
          <w:b/>
          <w:bCs/>
        </w:rPr>
        <w:t xml:space="preserve">. </w:t>
      </w:r>
      <w:r w:rsidRPr="00375567">
        <w:t>Například u ekzému je to lymfatický systém či okruh plic…</w:t>
      </w:r>
    </w:p>
    <w:p w14:paraId="1569FD3A" w14:textId="0B804983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Existují zákonitosti detoxikace</w:t>
      </w:r>
      <w:r w:rsidRPr="00375567">
        <w:t>, které doporučujeme brát v úvahu.</w:t>
      </w:r>
      <w:r>
        <w:t xml:space="preserve"> </w:t>
      </w:r>
      <w:r w:rsidRPr="00375567">
        <w:rPr>
          <w:b/>
          <w:bCs/>
        </w:rPr>
        <w:t>Při podání základních doporučených kúr neuděláte chybu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>→</w:t>
      </w:r>
      <w:r>
        <w:rPr>
          <w:b/>
          <w:bCs/>
        </w:rPr>
        <w:t xml:space="preserve"> </w:t>
      </w:r>
      <w:r>
        <w:t>po</w:t>
      </w:r>
      <w:r w:rsidRPr="00375567">
        <w:t>krývají velkou oblast toxinů a tkání, přípravky jsou vhodné pro každého, protože téměř neexistuje člověk, který by neměl zatížené tkáně těmito toxiny.</w:t>
      </w:r>
    </w:p>
    <w:p w14:paraId="1E2450B2" w14:textId="77777777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Přípravky podle pentagramu potřebuje každý.</w:t>
      </w:r>
      <w:r w:rsidRPr="00375567">
        <w:t xml:space="preserve"> </w:t>
      </w:r>
    </w:p>
    <w:p w14:paraId="010455F3" w14:textId="77777777" w:rsidR="00375567" w:rsidRDefault="00375567" w:rsidP="00991174">
      <w:pPr>
        <w:spacing w:after="120" w:line="320" w:lineRule="atLeast"/>
        <w:rPr>
          <w:b/>
          <w:bCs/>
        </w:rPr>
      </w:pPr>
    </w:p>
    <w:p w14:paraId="10D2B756" w14:textId="22B47BF6" w:rsidR="00375567" w:rsidRPr="00375567" w:rsidRDefault="00375567" w:rsidP="00991174">
      <w:pPr>
        <w:spacing w:after="120" w:line="320" w:lineRule="atLeast"/>
        <w:rPr>
          <w:b/>
          <w:bCs/>
        </w:rPr>
      </w:pPr>
      <w:r w:rsidRPr="00375567">
        <w:rPr>
          <w:b/>
          <w:bCs/>
        </w:rPr>
        <w:t>CESTY DETOXIKACE</w:t>
      </w:r>
    </w:p>
    <w:p w14:paraId="07BAB37C" w14:textId="77777777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Dva základní kroky detoxikace:</w:t>
      </w:r>
    </w:p>
    <w:p w14:paraId="429E9880" w14:textId="6F031FDD" w:rsidR="00375567" w:rsidRPr="00423FBB" w:rsidRDefault="00375567" w:rsidP="001E22BD">
      <w:pPr>
        <w:numPr>
          <w:ilvl w:val="0"/>
          <w:numId w:val="1"/>
        </w:numPr>
        <w:tabs>
          <w:tab w:val="clear" w:pos="360"/>
          <w:tab w:val="num" w:pos="720"/>
        </w:tabs>
        <w:spacing w:after="120" w:line="320" w:lineRule="atLeast"/>
        <w:rPr>
          <w:b/>
          <w:bCs/>
          <w:i/>
          <w:iCs/>
        </w:rPr>
      </w:pPr>
      <w:r w:rsidRPr="00375567">
        <w:rPr>
          <w:b/>
          <w:bCs/>
        </w:rPr>
        <w:t xml:space="preserve">Uvolnění psychických bloků, které brání spuštění detoxikace </w:t>
      </w:r>
      <w:r w:rsidRPr="00375567">
        <w:t xml:space="preserve">– odstranění poškozujících emocí, stresů, informací, které organismus přivádí do nouzového režimu, a které blokují přirozenou detoxikaci. </w:t>
      </w:r>
      <w:r w:rsidR="00423FBB">
        <w:br/>
      </w:r>
      <w:r w:rsidRPr="00375567">
        <w:t xml:space="preserve">Použijeme </w:t>
      </w:r>
      <w:r w:rsidRPr="00375567">
        <w:rPr>
          <w:b/>
          <w:bCs/>
        </w:rPr>
        <w:t>emoční přípravky</w:t>
      </w:r>
      <w:r w:rsidRPr="00423FBB">
        <w:rPr>
          <w:b/>
          <w:bCs/>
        </w:rPr>
        <w:t xml:space="preserve"> </w:t>
      </w:r>
      <w:r w:rsidRPr="00423FBB">
        <w:rPr>
          <w:rFonts w:cstheme="minorHAnsi"/>
          <w:b/>
          <w:bCs/>
        </w:rPr>
        <w:t>→</w:t>
      </w:r>
      <w:r w:rsidRPr="00423FBB">
        <w:rPr>
          <w:b/>
          <w:bCs/>
        </w:rPr>
        <w:t xml:space="preserve"> o</w:t>
      </w:r>
      <w:r w:rsidRPr="00375567">
        <w:rPr>
          <w:b/>
          <w:bCs/>
        </w:rPr>
        <w:t xml:space="preserve">dblokování psychiky, postup odshora dolů = </w:t>
      </w:r>
      <w:r w:rsidRPr="00375567">
        <w:rPr>
          <w:b/>
          <w:bCs/>
          <w:i/>
          <w:iCs/>
        </w:rPr>
        <w:t>od duše k tělu.</w:t>
      </w:r>
    </w:p>
    <w:p w14:paraId="7DF06650" w14:textId="3CC37CD9" w:rsidR="00991174" w:rsidRDefault="00423FBB" w:rsidP="009B45BD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320" w:lineRule="atLeast"/>
        <w:ind w:left="360"/>
        <w:rPr>
          <w:b/>
          <w:bCs/>
        </w:rPr>
      </w:pPr>
      <w:r w:rsidRPr="00423FBB">
        <w:rPr>
          <w:b/>
          <w:bCs/>
        </w:rPr>
        <w:t xml:space="preserve">Uvolnění toxinů z buněk a tkání – </w:t>
      </w:r>
      <w:r w:rsidRPr="00423FBB">
        <w:t xml:space="preserve">tj. přenos do tělesných tekutin a vylučovacích </w:t>
      </w:r>
      <w:r w:rsidRPr="00423FBB">
        <w:br/>
        <w:t xml:space="preserve">orgánů, vyloučení ven z organismu, regenerace tkání. </w:t>
      </w:r>
      <w:r>
        <w:br/>
      </w:r>
      <w:r w:rsidRPr="00423FBB">
        <w:t>Použijeme základní přípravky ze skupiny</w:t>
      </w:r>
      <w:r w:rsidRPr="00423FBB">
        <w:rPr>
          <w:b/>
          <w:bCs/>
        </w:rPr>
        <w:t xml:space="preserve"> dreny nebo herby </w:t>
      </w:r>
      <w:r w:rsidRPr="00423FBB">
        <w:t>pentagramu (+ další související přípravky na detoxikaci orgánů a tkání)</w:t>
      </w:r>
      <w:r w:rsidRPr="00423FBB">
        <w:rPr>
          <w:b/>
          <w:bCs/>
        </w:rPr>
        <w:t xml:space="preserve"> </w:t>
      </w:r>
      <w:r w:rsidRPr="00423FBB">
        <w:rPr>
          <w:rFonts w:cstheme="minorHAnsi"/>
          <w:b/>
          <w:bCs/>
        </w:rPr>
        <w:t>→ d</w:t>
      </w:r>
      <w:r w:rsidRPr="00423FBB">
        <w:rPr>
          <w:b/>
          <w:bCs/>
        </w:rPr>
        <w:t xml:space="preserve">etoxikace těla, postup zdola nahoru = </w:t>
      </w:r>
      <w:r w:rsidRPr="00423FBB">
        <w:rPr>
          <w:b/>
          <w:bCs/>
          <w:i/>
          <w:iCs/>
        </w:rPr>
        <w:t>od těla k duši</w:t>
      </w:r>
      <w:r w:rsidRPr="00423FBB">
        <w:rPr>
          <w:b/>
          <w:bCs/>
        </w:rPr>
        <w:t>.</w:t>
      </w:r>
    </w:p>
    <w:p w14:paraId="41F12E2D" w14:textId="77777777" w:rsidR="00423FBB" w:rsidRPr="00423FBB" w:rsidRDefault="00423FBB" w:rsidP="00423FBB">
      <w:pPr>
        <w:spacing w:after="120" w:line="320" w:lineRule="atLeast"/>
        <w:ind w:left="360"/>
        <w:rPr>
          <w:b/>
          <w:bCs/>
        </w:rPr>
      </w:pPr>
    </w:p>
    <w:p w14:paraId="2C6F4E36" w14:textId="2D284BCB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ZÁSADY DETOXIKACE</w:t>
      </w:r>
    </w:p>
    <w:p w14:paraId="2BB037D1" w14:textId="77777777" w:rsidR="00375567" w:rsidRPr="00375567" w:rsidRDefault="00375567" w:rsidP="00015AB8">
      <w:pPr>
        <w:numPr>
          <w:ilvl w:val="0"/>
          <w:numId w:val="5"/>
        </w:numPr>
        <w:spacing w:after="0" w:line="320" w:lineRule="atLeast"/>
        <w:ind w:left="357" w:hanging="357"/>
      </w:pPr>
      <w:r w:rsidRPr="00375567">
        <w:rPr>
          <w:b/>
          <w:bCs/>
        </w:rPr>
        <w:t>Vždy začínáme přípravky pentagramu.</w:t>
      </w:r>
    </w:p>
    <w:p w14:paraId="225A0E0A" w14:textId="0A91F46A" w:rsidR="00375567" w:rsidRPr="00375567" w:rsidRDefault="00375567" w:rsidP="00015AB8">
      <w:pPr>
        <w:numPr>
          <w:ilvl w:val="0"/>
          <w:numId w:val="6"/>
        </w:numPr>
        <w:spacing w:after="0" w:line="320" w:lineRule="atLeast"/>
        <w:ind w:left="357" w:hanging="357"/>
      </w:pPr>
      <w:r w:rsidRPr="00375567">
        <w:t>Tyto přípravky řeší tělesné orgány spolu se základními emocemi (spojení dvou cest).</w:t>
      </w:r>
    </w:p>
    <w:p w14:paraId="73D9698D" w14:textId="7E81F43F" w:rsidR="00375567" w:rsidRPr="00375567" w:rsidRDefault="00375567" w:rsidP="00015AB8">
      <w:pPr>
        <w:numPr>
          <w:ilvl w:val="0"/>
          <w:numId w:val="6"/>
        </w:numPr>
        <w:spacing w:after="0" w:line="320" w:lineRule="atLeast"/>
        <w:ind w:left="357" w:hanging="357"/>
      </w:pPr>
      <w:r w:rsidRPr="00375567">
        <w:t>Jsou to vylučovací orgány pro odvod toxinů.</w:t>
      </w:r>
    </w:p>
    <w:p w14:paraId="76B330D8" w14:textId="1C5A48F9" w:rsidR="00375567" w:rsidRPr="00375567" w:rsidRDefault="00375567" w:rsidP="00015AB8">
      <w:pPr>
        <w:numPr>
          <w:ilvl w:val="0"/>
          <w:numId w:val="6"/>
        </w:numPr>
        <w:spacing w:after="0" w:line="320" w:lineRule="atLeast"/>
        <w:ind w:left="357" w:hanging="357"/>
      </w:pPr>
      <w:r w:rsidRPr="00375567">
        <w:t xml:space="preserve">Detoxikovat tyto orgány potřebuje prakticky každý – jejich nasazením neuděláme chybu… </w:t>
      </w:r>
    </w:p>
    <w:p w14:paraId="6B0B2E8A" w14:textId="77777777" w:rsidR="00991174" w:rsidRPr="00423FBB" w:rsidRDefault="00375567" w:rsidP="00991174">
      <w:pPr>
        <w:numPr>
          <w:ilvl w:val="0"/>
          <w:numId w:val="6"/>
        </w:numPr>
        <w:spacing w:after="120" w:line="320" w:lineRule="atLeast"/>
      </w:pPr>
      <w:r w:rsidRPr="00375567">
        <w:t xml:space="preserve">Každý orgán pentagramu má vliv na imunitu </w:t>
      </w:r>
    </w:p>
    <w:p w14:paraId="69960196" w14:textId="3DFE4FC5" w:rsidR="00991174" w:rsidRPr="00015AB8" w:rsidRDefault="00375567" w:rsidP="00991174">
      <w:pPr>
        <w:numPr>
          <w:ilvl w:val="0"/>
          <w:numId w:val="7"/>
        </w:numPr>
        <w:tabs>
          <w:tab w:val="clear" w:pos="720"/>
          <w:tab w:val="num" w:pos="360"/>
        </w:tabs>
        <w:spacing w:after="120" w:line="320" w:lineRule="atLeast"/>
        <w:ind w:left="360"/>
      </w:pPr>
      <w:r w:rsidRPr="00375567">
        <w:rPr>
          <w:b/>
          <w:bCs/>
        </w:rPr>
        <w:t>Nejprve detoxikujeme mateřské (základní) orgány pentagramu,</w:t>
      </w:r>
      <w:r w:rsidR="00991174">
        <w:rPr>
          <w:b/>
          <w:bCs/>
        </w:rPr>
        <w:t xml:space="preserve"> </w:t>
      </w:r>
      <w:r w:rsidRPr="00375567">
        <w:rPr>
          <w:b/>
          <w:bCs/>
        </w:rPr>
        <w:t xml:space="preserve">až poté podřízené orgány </w:t>
      </w:r>
      <w:r w:rsidRPr="00375567">
        <w:t>– jinak by totiž k detoxikaci nemuselo</w:t>
      </w:r>
      <w:r w:rsidR="00991174" w:rsidRPr="00015AB8">
        <w:t xml:space="preserve"> </w:t>
      </w:r>
      <w:r w:rsidRPr="00375567">
        <w:t>vůbec dojít</w:t>
      </w:r>
      <w:r w:rsidR="00991174" w:rsidRPr="00015AB8">
        <w:t>.</w:t>
      </w:r>
    </w:p>
    <w:p w14:paraId="5B211C89" w14:textId="5D771E88" w:rsidR="00375567" w:rsidRPr="00375567" w:rsidRDefault="00375567" w:rsidP="00991174">
      <w:pPr>
        <w:numPr>
          <w:ilvl w:val="0"/>
          <w:numId w:val="7"/>
        </w:numPr>
        <w:tabs>
          <w:tab w:val="clear" w:pos="720"/>
          <w:tab w:val="num" w:pos="360"/>
        </w:tabs>
        <w:spacing w:after="120" w:line="320" w:lineRule="atLeast"/>
        <w:ind w:left="360"/>
      </w:pPr>
      <w:r w:rsidRPr="00375567">
        <w:rPr>
          <w:b/>
          <w:bCs/>
        </w:rPr>
        <w:t>Nekombinujeme přípravky na více mateřských orgánů</w:t>
      </w:r>
      <w:r w:rsidR="00015AB8">
        <w:rPr>
          <w:b/>
          <w:bCs/>
        </w:rPr>
        <w:t xml:space="preserve"> </w:t>
      </w:r>
      <w:r w:rsidRPr="00375567">
        <w:t>–</w:t>
      </w:r>
      <w:r w:rsidR="00015AB8">
        <w:t xml:space="preserve"> </w:t>
      </w:r>
      <w:r w:rsidRPr="00375567">
        <w:t xml:space="preserve">může dojít k vyloučení velkého množství toxinů, které mohou způsobit nepříjemné </w:t>
      </w:r>
      <w:r w:rsidRPr="00375567">
        <w:rPr>
          <w:b/>
          <w:bCs/>
        </w:rPr>
        <w:t xml:space="preserve">detoxikační příznaky </w:t>
      </w:r>
      <w:r w:rsidRPr="00375567">
        <w:t>a</w:t>
      </w:r>
      <w:r w:rsidRPr="00375567">
        <w:rPr>
          <w:b/>
          <w:bCs/>
        </w:rPr>
        <w:t xml:space="preserve"> </w:t>
      </w:r>
      <w:r w:rsidRPr="00375567">
        <w:t xml:space="preserve">detoxikace pak neprobíhá optimálně. </w:t>
      </w:r>
    </w:p>
    <w:p w14:paraId="6FD2A7FA" w14:textId="3D70C13E" w:rsidR="00991174" w:rsidRDefault="00375567" w:rsidP="00991174">
      <w:pPr>
        <w:numPr>
          <w:ilvl w:val="0"/>
          <w:numId w:val="8"/>
        </w:numPr>
        <w:tabs>
          <w:tab w:val="clear" w:pos="720"/>
          <w:tab w:val="num" w:pos="360"/>
        </w:tabs>
        <w:spacing w:after="120" w:line="320" w:lineRule="atLeast"/>
        <w:ind w:left="360"/>
      </w:pPr>
      <w:r w:rsidRPr="00375567">
        <w:rPr>
          <w:b/>
          <w:bCs/>
        </w:rPr>
        <w:t xml:space="preserve">Zkontrolujeme lymfatický systém </w:t>
      </w:r>
      <w:r w:rsidRPr="00375567">
        <w:t>(kanalizace těla)</w:t>
      </w:r>
      <w:r w:rsidRPr="00375567">
        <w:rPr>
          <w:b/>
          <w:bCs/>
        </w:rPr>
        <w:t xml:space="preserve"> </w:t>
      </w:r>
      <w:r w:rsidRPr="00375567">
        <w:t>–</w:t>
      </w:r>
      <w:r w:rsidRPr="00375567">
        <w:rPr>
          <w:b/>
          <w:bCs/>
        </w:rPr>
        <w:t xml:space="preserve"> důležité ještě před detoxikací, tj. před začátkem uvolňování toxinů a mikrobiálních ložisek</w:t>
      </w:r>
      <w:r w:rsidR="00015AB8">
        <w:rPr>
          <w:b/>
          <w:bCs/>
        </w:rPr>
        <w:t>.</w:t>
      </w:r>
    </w:p>
    <w:p w14:paraId="25CE3E82" w14:textId="0D67A59B" w:rsidR="00991174" w:rsidRPr="00015AB8" w:rsidRDefault="00991174" w:rsidP="00991174">
      <w:pPr>
        <w:numPr>
          <w:ilvl w:val="0"/>
          <w:numId w:val="8"/>
        </w:numPr>
        <w:tabs>
          <w:tab w:val="clear" w:pos="720"/>
          <w:tab w:val="num" w:pos="360"/>
        </w:tabs>
        <w:spacing w:after="120" w:line="320" w:lineRule="atLeast"/>
        <w:ind w:left="360"/>
      </w:pPr>
      <w:r w:rsidRPr="00991174">
        <w:rPr>
          <w:b/>
          <w:bCs/>
        </w:rPr>
        <w:t>Po</w:t>
      </w:r>
      <w:r w:rsidR="00375567" w:rsidRPr="00375567">
        <w:rPr>
          <w:b/>
          <w:bCs/>
        </w:rPr>
        <w:t xml:space="preserve">stupujeme od „širšího“ přípravku k detailněji zaměřenému. </w:t>
      </w:r>
      <w:r w:rsidR="00375567" w:rsidRPr="00375567">
        <w:t>Tj. nejprve podáváme komplexnější přípravky nebo přímo komplexy</w:t>
      </w:r>
      <w:r w:rsidR="00015AB8" w:rsidRPr="00015AB8">
        <w:t>.</w:t>
      </w:r>
    </w:p>
    <w:p w14:paraId="74FBDB24" w14:textId="77777777" w:rsidR="00015AB8" w:rsidRDefault="00015AB8" w:rsidP="00991174">
      <w:pPr>
        <w:spacing w:after="120" w:line="320" w:lineRule="atLeast"/>
        <w:rPr>
          <w:b/>
          <w:bCs/>
        </w:rPr>
      </w:pPr>
    </w:p>
    <w:p w14:paraId="1457D4F8" w14:textId="5C48EEBE" w:rsidR="00375567" w:rsidRPr="00375567" w:rsidRDefault="00375567" w:rsidP="00991174">
      <w:pPr>
        <w:spacing w:after="120" w:line="320" w:lineRule="atLeast"/>
        <w:rPr>
          <w:sz w:val="24"/>
          <w:szCs w:val="24"/>
        </w:rPr>
      </w:pPr>
      <w:r w:rsidRPr="00375567">
        <w:rPr>
          <w:b/>
          <w:bCs/>
          <w:sz w:val="24"/>
          <w:szCs w:val="24"/>
        </w:rPr>
        <w:lastRenderedPageBreak/>
        <w:t>SKLÁDÁNÍ KÚR</w:t>
      </w:r>
    </w:p>
    <w:p w14:paraId="47906CF9" w14:textId="77777777" w:rsidR="00375567" w:rsidRPr="00375567" w:rsidRDefault="00375567" w:rsidP="00E34F38">
      <w:pPr>
        <w:spacing w:after="120" w:line="320" w:lineRule="atLeast"/>
      </w:pPr>
      <w:r w:rsidRPr="00375567">
        <w:rPr>
          <w:b/>
          <w:bCs/>
        </w:rPr>
        <w:t>První jednoduché pravidlo</w:t>
      </w:r>
    </w:p>
    <w:p w14:paraId="0AB1683F" w14:textId="56DBE77F" w:rsidR="00375567" w:rsidRPr="00375567" w:rsidRDefault="00375567" w:rsidP="00E34F38">
      <w:pPr>
        <w:spacing w:after="120" w:line="320" w:lineRule="atLeast"/>
      </w:pPr>
      <w:r w:rsidRPr="00375567">
        <w:rPr>
          <w:b/>
          <w:bCs/>
        </w:rPr>
        <w:t xml:space="preserve">kde + co </w:t>
      </w:r>
      <w:r w:rsidRPr="00375567">
        <w:rPr>
          <w:b/>
          <w:bCs/>
        </w:rPr>
        <w:br/>
        <w:t xml:space="preserve">orgán (tkáň) + toxin, emoce, infekce </w:t>
      </w:r>
      <w:r w:rsidRPr="00375567">
        <w:rPr>
          <w:b/>
          <w:bCs/>
        </w:rPr>
        <w:br/>
      </w:r>
      <w:r w:rsidRPr="00375567">
        <w:rPr>
          <w:b/>
          <w:bCs/>
        </w:rPr>
        <w:tab/>
      </w:r>
      <w:r w:rsidRPr="00375567">
        <w:rPr>
          <w:b/>
          <w:bCs/>
        </w:rPr>
        <w:tab/>
      </w:r>
      <w:r w:rsidRPr="00375567">
        <w:rPr>
          <w:b/>
          <w:bCs/>
        </w:rPr>
        <w:tab/>
      </w:r>
      <w:r w:rsidRPr="00375567">
        <w:rPr>
          <w:b/>
          <w:bCs/>
        </w:rPr>
        <w:tab/>
      </w:r>
      <w:r w:rsidRPr="00375567">
        <w:rPr>
          <w:b/>
          <w:bCs/>
        </w:rPr>
        <w:br/>
      </w:r>
      <w:r w:rsidRPr="00375567">
        <w:rPr>
          <w:b/>
          <w:bCs/>
          <w:color w:val="FF0000"/>
        </w:rPr>
        <w:t>LiverDren®</w:t>
      </w:r>
      <w:r w:rsidRPr="00375567">
        <w:rPr>
          <w:b/>
          <w:bCs/>
        </w:rPr>
        <w:t xml:space="preserve"> + </w:t>
      </w:r>
      <w:r w:rsidRPr="00375567">
        <w:rPr>
          <w:b/>
          <w:bCs/>
          <w:color w:val="BF8F00" w:themeColor="accent4" w:themeShade="BF"/>
        </w:rPr>
        <w:t>Antivex®</w:t>
      </w:r>
      <w:r w:rsidRPr="00375567">
        <w:rPr>
          <w:b/>
          <w:bCs/>
        </w:rPr>
        <w:t xml:space="preserve"> + </w:t>
      </w:r>
      <w:r w:rsidRPr="00375567">
        <w:rPr>
          <w:b/>
          <w:bCs/>
          <w:color w:val="2E74B5" w:themeColor="accent1" w:themeShade="BF"/>
        </w:rPr>
        <w:t xml:space="preserve">Streson® </w:t>
      </w:r>
      <w:r w:rsidRPr="00375567">
        <w:rPr>
          <w:b/>
          <w:bCs/>
        </w:rPr>
        <w:br/>
      </w:r>
      <w:r w:rsidRPr="00375567">
        <w:rPr>
          <w:b/>
          <w:bCs/>
          <w:color w:val="7030A0"/>
        </w:rPr>
        <w:t>Activ-Col®</w:t>
      </w:r>
      <w:r w:rsidRPr="00375567">
        <w:rPr>
          <w:b/>
          <w:bCs/>
        </w:rPr>
        <w:t xml:space="preserve"> + </w:t>
      </w:r>
      <w:r w:rsidRPr="00375567">
        <w:rPr>
          <w:b/>
          <w:bCs/>
          <w:color w:val="FF0000"/>
        </w:rPr>
        <w:t>RespiDren®</w:t>
      </w:r>
      <w:r w:rsidRPr="00375567">
        <w:rPr>
          <w:b/>
          <w:bCs/>
        </w:rPr>
        <w:t xml:space="preserve"> + </w:t>
      </w:r>
      <w:proofErr w:type="spellStart"/>
      <w:r w:rsidRPr="00375567">
        <w:rPr>
          <w:b/>
          <w:bCs/>
          <w:color w:val="538135" w:themeColor="accent6" w:themeShade="BF"/>
        </w:rPr>
        <w:t>Toxigen</w:t>
      </w:r>
      <w:proofErr w:type="spellEnd"/>
      <w:r w:rsidRPr="00375567">
        <w:rPr>
          <w:b/>
          <w:bCs/>
          <w:color w:val="538135" w:themeColor="accent6" w:themeShade="BF"/>
        </w:rPr>
        <w:t xml:space="preserve">® </w:t>
      </w:r>
      <w:r w:rsidRPr="00375567">
        <w:rPr>
          <w:b/>
          <w:bCs/>
        </w:rPr>
        <w:br/>
      </w:r>
      <w:proofErr w:type="spellStart"/>
      <w:r w:rsidRPr="00375567">
        <w:rPr>
          <w:b/>
          <w:bCs/>
          <w:color w:val="FF0000"/>
        </w:rPr>
        <w:t>Supertox</w:t>
      </w:r>
      <w:proofErr w:type="spellEnd"/>
      <w:r w:rsidRPr="00375567">
        <w:rPr>
          <w:b/>
          <w:bCs/>
        </w:rPr>
        <w:t xml:space="preserve"> + </w:t>
      </w:r>
      <w:r w:rsidRPr="00375567">
        <w:rPr>
          <w:b/>
          <w:bCs/>
          <w:color w:val="538135" w:themeColor="accent6" w:themeShade="BF"/>
        </w:rPr>
        <w:t>Metabex®</w:t>
      </w:r>
      <w:r w:rsidRPr="00375567">
        <w:rPr>
          <w:b/>
          <w:bCs/>
        </w:rPr>
        <w:t xml:space="preserve"> + </w:t>
      </w:r>
      <w:proofErr w:type="spellStart"/>
      <w:r w:rsidRPr="00375567">
        <w:rPr>
          <w:b/>
          <w:bCs/>
          <w:color w:val="538135" w:themeColor="accent6" w:themeShade="BF"/>
        </w:rPr>
        <w:t>MindDren</w:t>
      </w:r>
      <w:proofErr w:type="spellEnd"/>
      <w:r w:rsidRPr="00375567">
        <w:rPr>
          <w:b/>
          <w:bCs/>
          <w:color w:val="538135" w:themeColor="accent6" w:themeShade="BF"/>
        </w:rPr>
        <w:t>®</w:t>
      </w:r>
    </w:p>
    <w:p w14:paraId="454BDCA9" w14:textId="77777777" w:rsidR="00015AB8" w:rsidRDefault="00015AB8" w:rsidP="00E34F38">
      <w:pPr>
        <w:spacing w:after="120" w:line="320" w:lineRule="atLeast"/>
        <w:rPr>
          <w:b/>
          <w:bCs/>
        </w:rPr>
      </w:pPr>
    </w:p>
    <w:p w14:paraId="16C79190" w14:textId="3A00A1CC" w:rsidR="00375567" w:rsidRPr="00375567" w:rsidRDefault="00015AB8" w:rsidP="00015AB8">
      <w:pPr>
        <w:spacing w:after="120" w:line="320" w:lineRule="atLeast"/>
      </w:pPr>
      <w:r w:rsidRPr="00375567">
        <w:rPr>
          <w:b/>
          <w:bCs/>
        </w:rPr>
        <w:t xml:space="preserve">kde + co </w:t>
      </w:r>
      <w:r w:rsidRPr="00375567">
        <w:rPr>
          <w:b/>
          <w:bCs/>
        </w:rPr>
        <w:br/>
      </w:r>
      <w:r w:rsidR="00375567" w:rsidRPr="00375567">
        <w:rPr>
          <w:b/>
          <w:bCs/>
        </w:rPr>
        <w:t>orgán (tkáň) + toxin</w:t>
      </w:r>
    </w:p>
    <w:p w14:paraId="0127F28B" w14:textId="3CB3A694" w:rsidR="00375567" w:rsidRPr="00375567" w:rsidRDefault="00171B29" w:rsidP="00991174">
      <w:pPr>
        <w:spacing w:after="120" w:line="320" w:lineRule="atLeast"/>
        <w:rPr>
          <w:strike/>
          <w:color w:val="FF0000"/>
        </w:rPr>
      </w:pPr>
      <w:r>
        <w:rPr>
          <w:rFonts w:cstheme="minorHAnsi"/>
        </w:rPr>
        <w:t>→</w:t>
      </w:r>
      <w:r>
        <w:t xml:space="preserve"> </w:t>
      </w:r>
      <w:r w:rsidR="00375567" w:rsidRPr="00375567">
        <w:t>Není efektivní, dát do kúry jen orgány:</w:t>
      </w:r>
      <w:r w:rsidR="00375567" w:rsidRPr="00375567">
        <w:rPr>
          <w:b/>
          <w:bCs/>
        </w:rPr>
        <w:t xml:space="preserve"> </w:t>
      </w:r>
      <w:r w:rsidR="00375567" w:rsidRPr="00375567">
        <w:rPr>
          <w:b/>
          <w:bCs/>
          <w:strike/>
          <w:color w:val="FF0000"/>
        </w:rPr>
        <w:t xml:space="preserve">LiverDren® </w:t>
      </w:r>
      <w:r w:rsidR="00375567" w:rsidRPr="00375567">
        <w:rPr>
          <w:b/>
          <w:bCs/>
          <w:strike/>
        </w:rPr>
        <w:t xml:space="preserve">+ </w:t>
      </w:r>
      <w:r w:rsidR="00375567" w:rsidRPr="00375567">
        <w:rPr>
          <w:b/>
          <w:bCs/>
          <w:strike/>
          <w:color w:val="FF0000"/>
        </w:rPr>
        <w:t>VelienDren®</w:t>
      </w:r>
      <w:r w:rsidR="00375567" w:rsidRPr="00375567">
        <w:rPr>
          <w:b/>
          <w:bCs/>
          <w:strike/>
        </w:rPr>
        <w:t xml:space="preserve"> + </w:t>
      </w:r>
      <w:r w:rsidR="00375567" w:rsidRPr="00375567">
        <w:rPr>
          <w:b/>
          <w:bCs/>
          <w:strike/>
          <w:color w:val="FF0000"/>
        </w:rPr>
        <w:t>ThyreoDren®</w:t>
      </w:r>
    </w:p>
    <w:p w14:paraId="74907EEE" w14:textId="530A48A4" w:rsidR="00375567" w:rsidRPr="00375567" w:rsidRDefault="00171B29" w:rsidP="00991174">
      <w:pPr>
        <w:spacing w:after="120" w:line="320" w:lineRule="atLeast"/>
        <w:rPr>
          <w:b/>
          <w:bCs/>
          <w:strike/>
          <w:color w:val="BF8F00" w:themeColor="accent4" w:themeShade="BF"/>
        </w:rPr>
      </w:pP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r w:rsidR="00375567" w:rsidRPr="00375567">
        <w:t xml:space="preserve">Není efektivní, dát </w:t>
      </w:r>
      <w:r>
        <w:t xml:space="preserve">do kúry </w:t>
      </w:r>
      <w:r w:rsidR="00375567" w:rsidRPr="00375567">
        <w:t>jen toxiny:</w:t>
      </w:r>
      <w:r w:rsidR="00375567" w:rsidRPr="00375567">
        <w:rPr>
          <w:b/>
          <w:bCs/>
        </w:rPr>
        <w:t xml:space="preserve"> </w:t>
      </w:r>
      <w:proofErr w:type="spellStart"/>
      <w:r w:rsidR="00375567" w:rsidRPr="00375567">
        <w:rPr>
          <w:b/>
          <w:bCs/>
          <w:strike/>
          <w:color w:val="538135" w:themeColor="accent6" w:themeShade="BF"/>
        </w:rPr>
        <w:t>MindDren</w:t>
      </w:r>
      <w:proofErr w:type="spellEnd"/>
      <w:r w:rsidR="00375567" w:rsidRPr="00375567">
        <w:rPr>
          <w:b/>
          <w:bCs/>
          <w:strike/>
          <w:color w:val="538135" w:themeColor="accent6" w:themeShade="BF"/>
        </w:rPr>
        <w:t>®</w:t>
      </w:r>
      <w:r w:rsidR="00375567" w:rsidRPr="00375567">
        <w:rPr>
          <w:b/>
          <w:bCs/>
          <w:strike/>
        </w:rPr>
        <w:t xml:space="preserve"> + </w:t>
      </w:r>
      <w:proofErr w:type="spellStart"/>
      <w:r w:rsidR="00375567" w:rsidRPr="00375567">
        <w:rPr>
          <w:b/>
          <w:bCs/>
          <w:strike/>
          <w:color w:val="538135" w:themeColor="accent6" w:themeShade="BF"/>
        </w:rPr>
        <w:t>Toxigen</w:t>
      </w:r>
      <w:proofErr w:type="spellEnd"/>
      <w:r w:rsidR="00375567" w:rsidRPr="00375567">
        <w:rPr>
          <w:b/>
          <w:bCs/>
          <w:strike/>
          <w:color w:val="538135" w:themeColor="accent6" w:themeShade="BF"/>
        </w:rPr>
        <w:t>®</w:t>
      </w:r>
      <w:r w:rsidR="00375567" w:rsidRPr="00375567">
        <w:rPr>
          <w:b/>
          <w:bCs/>
          <w:strike/>
        </w:rPr>
        <w:t xml:space="preserve"> + </w:t>
      </w:r>
      <w:r w:rsidR="00375567" w:rsidRPr="00375567">
        <w:rPr>
          <w:b/>
          <w:bCs/>
          <w:strike/>
          <w:color w:val="BF8F00" w:themeColor="accent4" w:themeShade="BF"/>
        </w:rPr>
        <w:t>Antivex®</w:t>
      </w:r>
    </w:p>
    <w:p w14:paraId="666278C1" w14:textId="4B8C63BF" w:rsidR="00375567" w:rsidRPr="00375567" w:rsidRDefault="00171B29" w:rsidP="00991174">
      <w:pPr>
        <w:spacing w:after="120" w:line="320" w:lineRule="atLeast"/>
      </w:pP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r w:rsidR="00375567" w:rsidRPr="00375567">
        <w:t>Můžeme používat komplexy</w:t>
      </w:r>
      <w:r w:rsidR="00375567" w:rsidRPr="00375567">
        <w:rPr>
          <w:b/>
          <w:bCs/>
        </w:rPr>
        <w:t xml:space="preserve"> = spojení kde + co:</w:t>
      </w:r>
      <w:r w:rsidR="00E34F38">
        <w:rPr>
          <w:b/>
          <w:bCs/>
        </w:rPr>
        <w:t xml:space="preserve"> </w:t>
      </w:r>
      <w:proofErr w:type="spellStart"/>
      <w:r w:rsidR="00375567" w:rsidRPr="00375567">
        <w:rPr>
          <w:b/>
          <w:bCs/>
          <w:color w:val="7030A0"/>
        </w:rPr>
        <w:t>Anaerg</w:t>
      </w:r>
      <w:proofErr w:type="spellEnd"/>
      <w:r w:rsidR="00375567" w:rsidRPr="00375567">
        <w:rPr>
          <w:b/>
          <w:bCs/>
          <w:color w:val="7030A0"/>
        </w:rPr>
        <w:t>®</w:t>
      </w:r>
      <w:r w:rsidR="00375567" w:rsidRPr="00375567">
        <w:rPr>
          <w:b/>
          <w:bCs/>
        </w:rPr>
        <w:t xml:space="preserve"> + </w:t>
      </w:r>
      <w:r w:rsidR="00375567" w:rsidRPr="00375567">
        <w:rPr>
          <w:b/>
          <w:bCs/>
          <w:color w:val="7030A0"/>
        </w:rPr>
        <w:t>Calon®</w:t>
      </w:r>
      <w:r w:rsidR="00375567" w:rsidRPr="00375567">
        <w:rPr>
          <w:b/>
          <w:bCs/>
        </w:rPr>
        <w:t xml:space="preserve"> (nebo </w:t>
      </w:r>
      <w:r w:rsidR="00375567" w:rsidRPr="00375567">
        <w:rPr>
          <w:b/>
          <w:bCs/>
          <w:color w:val="7030A0"/>
        </w:rPr>
        <w:t>Activ-Col®</w:t>
      </w:r>
      <w:r w:rsidR="00375567" w:rsidRPr="00375567">
        <w:rPr>
          <w:b/>
          <w:bCs/>
        </w:rPr>
        <w:t xml:space="preserve">, </w:t>
      </w:r>
      <w:r w:rsidR="00375567" w:rsidRPr="00375567">
        <w:rPr>
          <w:b/>
          <w:bCs/>
          <w:color w:val="7030A0"/>
        </w:rPr>
        <w:t>Pranon®</w:t>
      </w:r>
      <w:r w:rsidR="00375567" w:rsidRPr="00375567">
        <w:rPr>
          <w:b/>
          <w:bCs/>
        </w:rPr>
        <w:t xml:space="preserve">, </w:t>
      </w:r>
      <w:proofErr w:type="spellStart"/>
      <w:r w:rsidR="00375567" w:rsidRPr="00375567">
        <w:rPr>
          <w:b/>
          <w:bCs/>
          <w:color w:val="7030A0"/>
        </w:rPr>
        <w:t>Hepar</w:t>
      </w:r>
      <w:proofErr w:type="spellEnd"/>
      <w:r w:rsidR="00375567" w:rsidRPr="00375567">
        <w:rPr>
          <w:b/>
          <w:bCs/>
        </w:rPr>
        <w:t>…)</w:t>
      </w:r>
    </w:p>
    <w:p w14:paraId="6ABF7913" w14:textId="045BA9C3" w:rsidR="00375567" w:rsidRPr="00375567" w:rsidRDefault="00171B29" w:rsidP="00991174">
      <w:pPr>
        <w:spacing w:after="120" w:line="320" w:lineRule="atLeast"/>
      </w:pP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r w:rsidR="00375567" w:rsidRPr="00375567">
        <w:t>Komplex většinou nedokáže úplně nahradit vytvořenou kombinaci</w:t>
      </w:r>
      <w:r w:rsidR="00E34F38">
        <w:t>:</w:t>
      </w:r>
      <w:r w:rsidR="00375567" w:rsidRPr="00375567">
        <w:t xml:space="preserve"> </w:t>
      </w:r>
      <w:proofErr w:type="spellStart"/>
      <w:r w:rsidR="00375567" w:rsidRPr="00375567">
        <w:rPr>
          <w:b/>
          <w:bCs/>
          <w:color w:val="7030A0"/>
        </w:rPr>
        <w:t>Anaerg</w:t>
      </w:r>
      <w:proofErr w:type="spellEnd"/>
      <w:r w:rsidR="00375567" w:rsidRPr="00375567">
        <w:rPr>
          <w:b/>
          <w:bCs/>
          <w:color w:val="7030A0"/>
        </w:rPr>
        <w:t>®</w:t>
      </w:r>
      <w:r w:rsidR="00375567" w:rsidRPr="00375567">
        <w:rPr>
          <w:b/>
          <w:bCs/>
        </w:rPr>
        <w:t xml:space="preserve"> = </w:t>
      </w:r>
      <w:r w:rsidR="00375567" w:rsidRPr="00375567">
        <w:rPr>
          <w:b/>
          <w:bCs/>
          <w:color w:val="538135" w:themeColor="accent6" w:themeShade="BF"/>
        </w:rPr>
        <w:t>LiverDren®</w:t>
      </w:r>
      <w:r w:rsidR="00375567" w:rsidRPr="00375567">
        <w:rPr>
          <w:b/>
          <w:bCs/>
        </w:rPr>
        <w:t xml:space="preserve"> + </w:t>
      </w:r>
      <w:r w:rsidR="00375567" w:rsidRPr="00375567">
        <w:rPr>
          <w:b/>
          <w:bCs/>
          <w:color w:val="538135" w:themeColor="accent6" w:themeShade="BF"/>
        </w:rPr>
        <w:t>Non</w:t>
      </w:r>
      <w:r w:rsidR="00E34F38">
        <w:rPr>
          <w:b/>
          <w:bCs/>
          <w:color w:val="538135" w:themeColor="accent6" w:themeShade="BF"/>
        </w:rPr>
        <w:t>-</w:t>
      </w:r>
      <w:r w:rsidR="00375567" w:rsidRPr="00375567">
        <w:rPr>
          <w:b/>
          <w:bCs/>
          <w:color w:val="538135" w:themeColor="accent6" w:themeShade="BF"/>
        </w:rPr>
        <w:t>grata</w:t>
      </w:r>
      <w:r w:rsidR="00375567" w:rsidRPr="00375567">
        <w:rPr>
          <w:b/>
          <w:bCs/>
        </w:rPr>
        <w:t>…</w:t>
      </w:r>
    </w:p>
    <w:p w14:paraId="4E94BC7F" w14:textId="039EF64D" w:rsidR="00375567" w:rsidRPr="00375567" w:rsidRDefault="00171B29" w:rsidP="00991174">
      <w:pPr>
        <w:spacing w:after="120" w:line="320" w:lineRule="atLeast"/>
      </w:pPr>
      <w:r w:rsidRPr="00171B29">
        <w:rPr>
          <w:rFonts w:cstheme="minorHAnsi"/>
        </w:rPr>
        <w:t>→</w:t>
      </w:r>
      <w:r w:rsidRPr="00171B29">
        <w:rPr>
          <w:rFonts w:cstheme="minorHAnsi"/>
        </w:rPr>
        <w:t xml:space="preserve"> </w:t>
      </w:r>
      <w:r w:rsidR="00375567" w:rsidRPr="00171B29">
        <w:rPr>
          <w:u w:val="single"/>
        </w:rPr>
        <w:t>Běžná, funkční kombinace</w:t>
      </w:r>
      <w:r w:rsidR="00375567" w:rsidRPr="00171B29">
        <w:t>:</w:t>
      </w:r>
      <w:r w:rsidR="00375567" w:rsidRPr="00171B29">
        <w:rPr>
          <w:b/>
          <w:bCs/>
        </w:rPr>
        <w:t xml:space="preserve"> </w:t>
      </w:r>
      <w:r w:rsidR="00375567" w:rsidRPr="00375567">
        <w:rPr>
          <w:b/>
          <w:bCs/>
          <w:color w:val="FF0000"/>
        </w:rPr>
        <w:t xml:space="preserve">LiverDren® </w:t>
      </w:r>
      <w:r w:rsidR="00375567" w:rsidRPr="00375567">
        <w:rPr>
          <w:b/>
          <w:bCs/>
        </w:rPr>
        <w:t xml:space="preserve">+ </w:t>
      </w:r>
      <w:proofErr w:type="spellStart"/>
      <w:r w:rsidR="00375567" w:rsidRPr="00375567">
        <w:rPr>
          <w:b/>
          <w:bCs/>
          <w:color w:val="7030A0"/>
        </w:rPr>
        <w:t>Anaerg</w:t>
      </w:r>
      <w:proofErr w:type="spellEnd"/>
      <w:r w:rsidR="00375567" w:rsidRPr="00375567">
        <w:rPr>
          <w:b/>
          <w:bCs/>
          <w:color w:val="7030A0"/>
        </w:rPr>
        <w:t>®</w:t>
      </w:r>
      <w:r w:rsidR="00375567" w:rsidRPr="00375567">
        <w:rPr>
          <w:b/>
          <w:bCs/>
        </w:rPr>
        <w:t xml:space="preserve"> + </w:t>
      </w:r>
      <w:r w:rsidR="00375567" w:rsidRPr="00375567">
        <w:rPr>
          <w:b/>
          <w:bCs/>
          <w:color w:val="538135" w:themeColor="accent6" w:themeShade="BF"/>
        </w:rPr>
        <w:t xml:space="preserve">Non-grata </w:t>
      </w:r>
      <w:r w:rsidR="00375567" w:rsidRPr="00375567">
        <w:t>(nebo</w:t>
      </w:r>
      <w:r w:rsidR="00375567" w:rsidRPr="00375567">
        <w:rPr>
          <w:b/>
          <w:bCs/>
        </w:rPr>
        <w:t xml:space="preserve"> </w:t>
      </w:r>
      <w:r w:rsidR="00375567" w:rsidRPr="00375567">
        <w:rPr>
          <w:b/>
          <w:bCs/>
          <w:color w:val="2E74B5" w:themeColor="accent1" w:themeShade="BF"/>
        </w:rPr>
        <w:t>Emoce®</w:t>
      </w:r>
      <w:r w:rsidR="00375567" w:rsidRPr="00375567">
        <w:rPr>
          <w:b/>
          <w:bCs/>
        </w:rPr>
        <w:t xml:space="preserve">, </w:t>
      </w:r>
      <w:r w:rsidR="00375567" w:rsidRPr="00375567">
        <w:rPr>
          <w:b/>
          <w:bCs/>
          <w:color w:val="2E74B5" w:themeColor="accent1" w:themeShade="BF"/>
        </w:rPr>
        <w:t>Streson®</w:t>
      </w:r>
      <w:r w:rsidR="00375567" w:rsidRPr="00375567">
        <w:t>…)</w:t>
      </w:r>
    </w:p>
    <w:p w14:paraId="76C977F6" w14:textId="77777777" w:rsidR="00375567" w:rsidRPr="00375567" w:rsidRDefault="00375567" w:rsidP="00991174">
      <w:pPr>
        <w:spacing w:after="120" w:line="320" w:lineRule="atLeast"/>
      </w:pPr>
    </w:p>
    <w:p w14:paraId="23A26181" w14:textId="77777777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Druhé jednoduché pravidlo</w:t>
      </w:r>
    </w:p>
    <w:p w14:paraId="278361F7" w14:textId="7A34CE51" w:rsidR="00375567" w:rsidRPr="00375567" w:rsidRDefault="00375567" w:rsidP="00991174">
      <w:pPr>
        <w:spacing w:after="120" w:line="320" w:lineRule="atLeast"/>
      </w:pPr>
      <w:r w:rsidRPr="00375567">
        <w:t>Je velmi účinné hledat toxiny, které spolu souvis</w:t>
      </w:r>
      <w:r w:rsidR="00E34F38" w:rsidRPr="00E34F38">
        <w:t>ej</w:t>
      </w:r>
      <w:r w:rsidRPr="00375567">
        <w:t>í</w:t>
      </w:r>
    </w:p>
    <w:p w14:paraId="7651FADF" w14:textId="460C3F18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mikroorganismus + metabolit</w:t>
      </w:r>
    </w:p>
    <w:p w14:paraId="42123B6A" w14:textId="77777777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mikroorganismus + mikroorganismus</w:t>
      </w:r>
    </w:p>
    <w:p w14:paraId="507E3BD5" w14:textId="77777777" w:rsidR="00375567" w:rsidRPr="00375567" w:rsidRDefault="00375567" w:rsidP="00991174">
      <w:pPr>
        <w:spacing w:after="120" w:line="320" w:lineRule="atLeast"/>
      </w:pPr>
      <w:r w:rsidRPr="00375567">
        <w:rPr>
          <w:b/>
          <w:bCs/>
        </w:rPr>
        <w:t>toxin + toxin</w:t>
      </w:r>
    </w:p>
    <w:p w14:paraId="07CF4AB4" w14:textId="44827EF3" w:rsidR="00375567" w:rsidRPr="00375567" w:rsidRDefault="00375567" w:rsidP="00991174">
      <w:pPr>
        <w:spacing w:after="120" w:line="320" w:lineRule="atLeast"/>
      </w:pPr>
      <w:r w:rsidRPr="00375567">
        <w:rPr>
          <w:b/>
          <w:bCs/>
          <w:color w:val="BF8F00" w:themeColor="accent4" w:themeShade="BF"/>
        </w:rPr>
        <w:t>Spirobor®</w:t>
      </w:r>
      <w:r w:rsidRPr="00375567">
        <w:rPr>
          <w:b/>
          <w:bCs/>
        </w:rPr>
        <w:t xml:space="preserve"> + </w:t>
      </w:r>
      <w:r w:rsidRPr="00375567">
        <w:rPr>
          <w:b/>
          <w:bCs/>
          <w:color w:val="BF8F00" w:themeColor="accent4" w:themeShade="BF"/>
        </w:rPr>
        <w:t>Herp®</w:t>
      </w:r>
      <w:r w:rsidRPr="00375567">
        <w:rPr>
          <w:b/>
          <w:bCs/>
        </w:rPr>
        <w:t xml:space="preserve"> +</w:t>
      </w:r>
      <w:proofErr w:type="gramStart"/>
      <w:r w:rsidRPr="00375567">
        <w:rPr>
          <w:b/>
          <w:bCs/>
        </w:rPr>
        <w:t xml:space="preserve"> ….</w:t>
      </w:r>
      <w:proofErr w:type="gramEnd"/>
      <w:r w:rsidRPr="00375567">
        <w:rPr>
          <w:b/>
          <w:bCs/>
        </w:rPr>
        <w:t>.</w:t>
      </w:r>
      <w:r w:rsidRPr="00375567">
        <w:rPr>
          <w:b/>
          <w:bCs/>
        </w:rPr>
        <w:br/>
      </w:r>
      <w:r w:rsidRPr="00375567">
        <w:rPr>
          <w:b/>
          <w:bCs/>
          <w:color w:val="2F5496" w:themeColor="accent5" w:themeShade="BF"/>
        </w:rPr>
        <w:t>Emoce®</w:t>
      </w:r>
      <w:r w:rsidRPr="00375567">
        <w:rPr>
          <w:b/>
          <w:bCs/>
        </w:rPr>
        <w:t xml:space="preserve"> + </w:t>
      </w:r>
      <w:r w:rsidRPr="00375567">
        <w:rPr>
          <w:b/>
          <w:bCs/>
          <w:color w:val="BF8F00" w:themeColor="accent4" w:themeShade="BF"/>
        </w:rPr>
        <w:t>Spirobor®</w:t>
      </w:r>
      <w:r w:rsidRPr="00375567">
        <w:rPr>
          <w:b/>
          <w:bCs/>
        </w:rPr>
        <w:t xml:space="preserve"> + …. </w:t>
      </w:r>
      <w:r w:rsidRPr="00375567">
        <w:rPr>
          <w:b/>
          <w:bCs/>
        </w:rPr>
        <w:br/>
      </w:r>
      <w:proofErr w:type="spellStart"/>
      <w:r w:rsidRPr="00375567">
        <w:rPr>
          <w:b/>
          <w:bCs/>
          <w:color w:val="FF0000"/>
        </w:rPr>
        <w:t>Supertox</w:t>
      </w:r>
      <w:proofErr w:type="spellEnd"/>
      <w:r w:rsidRPr="00375567">
        <w:rPr>
          <w:b/>
          <w:bCs/>
        </w:rPr>
        <w:t xml:space="preserve"> + </w:t>
      </w:r>
      <w:r w:rsidRPr="00375567">
        <w:rPr>
          <w:b/>
          <w:bCs/>
          <w:color w:val="538135" w:themeColor="accent6" w:themeShade="BF"/>
        </w:rPr>
        <w:t>Metabex®</w:t>
      </w:r>
      <w:r w:rsidRPr="00375567">
        <w:rPr>
          <w:b/>
          <w:bCs/>
        </w:rPr>
        <w:t xml:space="preserve"> + </w:t>
      </w:r>
      <w:proofErr w:type="spellStart"/>
      <w:r w:rsidRPr="00375567">
        <w:rPr>
          <w:b/>
          <w:bCs/>
          <w:color w:val="538135" w:themeColor="accent6" w:themeShade="BF"/>
        </w:rPr>
        <w:t>MindDren</w:t>
      </w:r>
      <w:proofErr w:type="spellEnd"/>
      <w:r w:rsidRPr="00375567">
        <w:rPr>
          <w:b/>
          <w:bCs/>
          <w:color w:val="538135" w:themeColor="accent6" w:themeShade="BF"/>
        </w:rPr>
        <w:t xml:space="preserve">® </w:t>
      </w:r>
    </w:p>
    <w:p w14:paraId="42EC3637" w14:textId="77777777" w:rsidR="00375567" w:rsidRDefault="00375567" w:rsidP="00991174">
      <w:pPr>
        <w:spacing w:after="120" w:line="320" w:lineRule="atLeast"/>
      </w:pPr>
    </w:p>
    <w:sectPr w:rsidR="00375567" w:rsidSect="00015AB8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495E"/>
    <w:multiLevelType w:val="hybridMultilevel"/>
    <w:tmpl w:val="B6403D26"/>
    <w:lvl w:ilvl="0" w:tplc="43127472">
      <w:start w:val="1"/>
      <w:numFmt w:val="bullet"/>
      <w:lvlText w:val="⮚"/>
      <w:lvlJc w:val="left"/>
      <w:pPr>
        <w:tabs>
          <w:tab w:val="num" w:pos="360"/>
        </w:tabs>
        <w:ind w:left="360" w:hanging="360"/>
      </w:pPr>
      <w:rPr>
        <w:rFonts w:ascii="Segoe UI Symbol" w:hAnsi="Segoe UI Symbol" w:hint="default"/>
      </w:rPr>
    </w:lvl>
    <w:lvl w:ilvl="1" w:tplc="D3EEF8D6" w:tentative="1">
      <w:start w:val="1"/>
      <w:numFmt w:val="bullet"/>
      <w:lvlText w:val="⮚"/>
      <w:lvlJc w:val="left"/>
      <w:pPr>
        <w:tabs>
          <w:tab w:val="num" w:pos="1080"/>
        </w:tabs>
        <w:ind w:left="1080" w:hanging="360"/>
      </w:pPr>
      <w:rPr>
        <w:rFonts w:ascii="Segoe UI Symbol" w:hAnsi="Segoe UI Symbol" w:hint="default"/>
      </w:rPr>
    </w:lvl>
    <w:lvl w:ilvl="2" w:tplc="B3FC6B32" w:tentative="1">
      <w:start w:val="1"/>
      <w:numFmt w:val="bullet"/>
      <w:lvlText w:val="⮚"/>
      <w:lvlJc w:val="left"/>
      <w:pPr>
        <w:tabs>
          <w:tab w:val="num" w:pos="1800"/>
        </w:tabs>
        <w:ind w:left="1800" w:hanging="360"/>
      </w:pPr>
      <w:rPr>
        <w:rFonts w:ascii="Segoe UI Symbol" w:hAnsi="Segoe UI Symbol" w:hint="default"/>
      </w:rPr>
    </w:lvl>
    <w:lvl w:ilvl="3" w:tplc="F2E6249C" w:tentative="1">
      <w:start w:val="1"/>
      <w:numFmt w:val="bullet"/>
      <w:lvlText w:val="⮚"/>
      <w:lvlJc w:val="left"/>
      <w:pPr>
        <w:tabs>
          <w:tab w:val="num" w:pos="2520"/>
        </w:tabs>
        <w:ind w:left="2520" w:hanging="360"/>
      </w:pPr>
      <w:rPr>
        <w:rFonts w:ascii="Segoe UI Symbol" w:hAnsi="Segoe UI Symbol" w:hint="default"/>
      </w:rPr>
    </w:lvl>
    <w:lvl w:ilvl="4" w:tplc="DD4661C2" w:tentative="1">
      <w:start w:val="1"/>
      <w:numFmt w:val="bullet"/>
      <w:lvlText w:val="⮚"/>
      <w:lvlJc w:val="left"/>
      <w:pPr>
        <w:tabs>
          <w:tab w:val="num" w:pos="3240"/>
        </w:tabs>
        <w:ind w:left="3240" w:hanging="360"/>
      </w:pPr>
      <w:rPr>
        <w:rFonts w:ascii="Segoe UI Symbol" w:hAnsi="Segoe UI Symbol" w:hint="default"/>
      </w:rPr>
    </w:lvl>
    <w:lvl w:ilvl="5" w:tplc="E59E695A" w:tentative="1">
      <w:start w:val="1"/>
      <w:numFmt w:val="bullet"/>
      <w:lvlText w:val="⮚"/>
      <w:lvlJc w:val="left"/>
      <w:pPr>
        <w:tabs>
          <w:tab w:val="num" w:pos="3960"/>
        </w:tabs>
        <w:ind w:left="3960" w:hanging="360"/>
      </w:pPr>
      <w:rPr>
        <w:rFonts w:ascii="Segoe UI Symbol" w:hAnsi="Segoe UI Symbol" w:hint="default"/>
      </w:rPr>
    </w:lvl>
    <w:lvl w:ilvl="6" w:tplc="0180FC4A" w:tentative="1">
      <w:start w:val="1"/>
      <w:numFmt w:val="bullet"/>
      <w:lvlText w:val="⮚"/>
      <w:lvlJc w:val="left"/>
      <w:pPr>
        <w:tabs>
          <w:tab w:val="num" w:pos="4680"/>
        </w:tabs>
        <w:ind w:left="4680" w:hanging="360"/>
      </w:pPr>
      <w:rPr>
        <w:rFonts w:ascii="Segoe UI Symbol" w:hAnsi="Segoe UI Symbol" w:hint="default"/>
      </w:rPr>
    </w:lvl>
    <w:lvl w:ilvl="7" w:tplc="6D027A46" w:tentative="1">
      <w:start w:val="1"/>
      <w:numFmt w:val="bullet"/>
      <w:lvlText w:val="⮚"/>
      <w:lvlJc w:val="left"/>
      <w:pPr>
        <w:tabs>
          <w:tab w:val="num" w:pos="5400"/>
        </w:tabs>
        <w:ind w:left="5400" w:hanging="360"/>
      </w:pPr>
      <w:rPr>
        <w:rFonts w:ascii="Segoe UI Symbol" w:hAnsi="Segoe UI Symbol" w:hint="default"/>
      </w:rPr>
    </w:lvl>
    <w:lvl w:ilvl="8" w:tplc="46C43068" w:tentative="1">
      <w:start w:val="1"/>
      <w:numFmt w:val="bullet"/>
      <w:lvlText w:val="⮚"/>
      <w:lvlJc w:val="left"/>
      <w:pPr>
        <w:tabs>
          <w:tab w:val="num" w:pos="6120"/>
        </w:tabs>
        <w:ind w:left="6120" w:hanging="360"/>
      </w:pPr>
      <w:rPr>
        <w:rFonts w:ascii="Segoe UI Symbol" w:hAnsi="Segoe UI Symbol" w:hint="default"/>
      </w:rPr>
    </w:lvl>
  </w:abstractNum>
  <w:abstractNum w:abstractNumId="1" w15:restartNumberingAfterBreak="0">
    <w:nsid w:val="23512351"/>
    <w:multiLevelType w:val="hybridMultilevel"/>
    <w:tmpl w:val="3B849310"/>
    <w:lvl w:ilvl="0" w:tplc="5C9AE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05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E6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6A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AC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8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8E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A7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83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086C61"/>
    <w:multiLevelType w:val="hybridMultilevel"/>
    <w:tmpl w:val="2A460A66"/>
    <w:lvl w:ilvl="0" w:tplc="70001C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AB8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8D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64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47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6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C8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E9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2D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B79C2"/>
    <w:multiLevelType w:val="hybridMultilevel"/>
    <w:tmpl w:val="959E4ED8"/>
    <w:lvl w:ilvl="0" w:tplc="3F2262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8E1CE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91091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A8C6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6C4A0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3ABC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28DD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86D5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DC1F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B0E6842"/>
    <w:multiLevelType w:val="hybridMultilevel"/>
    <w:tmpl w:val="E592C000"/>
    <w:lvl w:ilvl="0" w:tplc="34C61B10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5A4157C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9E29594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DBC61F6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ED2DFFC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853A99D6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1CCAC1E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A4EE202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944B0B6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336D12BD"/>
    <w:multiLevelType w:val="hybridMultilevel"/>
    <w:tmpl w:val="FFA27400"/>
    <w:lvl w:ilvl="0" w:tplc="A942C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BEB24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CEE6C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E8C0E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2133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A297A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F3A51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805B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2F019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B029B4"/>
    <w:multiLevelType w:val="hybridMultilevel"/>
    <w:tmpl w:val="2BE45714"/>
    <w:lvl w:ilvl="0" w:tplc="05446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E3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0C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0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40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CE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67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8B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CB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300B5C"/>
    <w:multiLevelType w:val="hybridMultilevel"/>
    <w:tmpl w:val="F18C4084"/>
    <w:lvl w:ilvl="0" w:tplc="99FE2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C7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4F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F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C5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EB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ED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CF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A4F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3D24A8"/>
    <w:multiLevelType w:val="hybridMultilevel"/>
    <w:tmpl w:val="02B8A4AE"/>
    <w:lvl w:ilvl="0" w:tplc="2E4C7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C8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44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2C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89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ECA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29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0E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84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147CAB"/>
    <w:multiLevelType w:val="hybridMultilevel"/>
    <w:tmpl w:val="13E8F3A8"/>
    <w:lvl w:ilvl="0" w:tplc="07106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5C9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4B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0B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4A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43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4E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C7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4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2A2AC0"/>
    <w:multiLevelType w:val="hybridMultilevel"/>
    <w:tmpl w:val="6C9CF3AA"/>
    <w:lvl w:ilvl="0" w:tplc="68446810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2B4149E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3D413AE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7904812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688169A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6407A32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D927D92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F8A9018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0406370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6DB0477E"/>
    <w:multiLevelType w:val="hybridMultilevel"/>
    <w:tmpl w:val="E76CCE2C"/>
    <w:lvl w:ilvl="0" w:tplc="EEDAD9A8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3EC32D8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57E9B6A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87AC0EA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2607774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938852A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AB2345C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4BE421C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A8EDCF2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2" w15:restartNumberingAfterBreak="0">
    <w:nsid w:val="7F0D7629"/>
    <w:multiLevelType w:val="hybridMultilevel"/>
    <w:tmpl w:val="CCA2EF72"/>
    <w:lvl w:ilvl="0" w:tplc="9D4284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2F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7ED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E8E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6C4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29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E46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80A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680943">
    <w:abstractNumId w:val="5"/>
  </w:num>
  <w:num w:numId="2" w16cid:durableId="819418828">
    <w:abstractNumId w:val="2"/>
  </w:num>
  <w:num w:numId="3" w16cid:durableId="1116291898">
    <w:abstractNumId w:val="8"/>
  </w:num>
  <w:num w:numId="4" w16cid:durableId="1740516788">
    <w:abstractNumId w:val="7"/>
  </w:num>
  <w:num w:numId="5" w16cid:durableId="1250311993">
    <w:abstractNumId w:val="0"/>
  </w:num>
  <w:num w:numId="6" w16cid:durableId="1911110885">
    <w:abstractNumId w:val="3"/>
  </w:num>
  <w:num w:numId="7" w16cid:durableId="1591504107">
    <w:abstractNumId w:val="4"/>
  </w:num>
  <w:num w:numId="8" w16cid:durableId="1933393153">
    <w:abstractNumId w:val="11"/>
  </w:num>
  <w:num w:numId="9" w16cid:durableId="1505585897">
    <w:abstractNumId w:val="6"/>
  </w:num>
  <w:num w:numId="10" w16cid:durableId="516161706">
    <w:abstractNumId w:val="10"/>
  </w:num>
  <w:num w:numId="11" w16cid:durableId="1345091803">
    <w:abstractNumId w:val="12"/>
  </w:num>
  <w:num w:numId="12" w16cid:durableId="1357149106">
    <w:abstractNumId w:val="9"/>
  </w:num>
  <w:num w:numId="13" w16cid:durableId="43175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67"/>
    <w:rsid w:val="00015AB8"/>
    <w:rsid w:val="000605E2"/>
    <w:rsid w:val="00171B29"/>
    <w:rsid w:val="002C2DFF"/>
    <w:rsid w:val="00375567"/>
    <w:rsid w:val="00423FBB"/>
    <w:rsid w:val="004A7884"/>
    <w:rsid w:val="004F76E8"/>
    <w:rsid w:val="006647EA"/>
    <w:rsid w:val="00720957"/>
    <w:rsid w:val="00991174"/>
    <w:rsid w:val="00AD26AD"/>
    <w:rsid w:val="00E34F38"/>
    <w:rsid w:val="00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A52C"/>
  <w15:chartTrackingRefBased/>
  <w15:docId w15:val="{DFBD4FBE-197C-49AB-A371-76773570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2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4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96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96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53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29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46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5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30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20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3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5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991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33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33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37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84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34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7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53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0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7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Joalis Ofis</dc:creator>
  <cp:keywords/>
  <dc:description/>
  <cp:lastModifiedBy>Joalis Ofis</cp:lastModifiedBy>
  <cp:revision>3</cp:revision>
  <dcterms:created xsi:type="dcterms:W3CDTF">2024-02-28T15:18:00Z</dcterms:created>
  <dcterms:modified xsi:type="dcterms:W3CDTF">2024-05-30T11:50:00Z</dcterms:modified>
</cp:coreProperties>
</file>